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DC" w:rsidRPr="007F6456" w:rsidRDefault="00BD27DC" w:rsidP="00BD27DC">
      <w:pPr>
        <w:autoSpaceDE w:val="0"/>
        <w:autoSpaceDN w:val="0"/>
        <w:adjustRightInd w:val="0"/>
        <w:spacing w:after="0" w:line="240" w:lineRule="auto"/>
        <w:rPr>
          <w:rFonts w:eastAsia="Calibri" w:cs="Times New Roman"/>
          <w:b/>
          <w:sz w:val="23"/>
          <w:szCs w:val="23"/>
        </w:rPr>
      </w:pPr>
      <w:r w:rsidRPr="007F6456">
        <w:rPr>
          <w:rFonts w:eastAsia="Calibri" w:cs="Times New Roman"/>
          <w:b/>
          <w:sz w:val="23"/>
          <w:szCs w:val="23"/>
        </w:rPr>
        <w:t>Adopted by ODFC Coordinating Council on June 8, 2015</w:t>
      </w:r>
    </w:p>
    <w:p w:rsidR="00BD27DC" w:rsidRDefault="00BD27DC" w:rsidP="00BD27DC">
      <w:pPr>
        <w:autoSpaceDE w:val="0"/>
        <w:autoSpaceDN w:val="0"/>
        <w:adjustRightInd w:val="0"/>
        <w:spacing w:after="0" w:line="240" w:lineRule="auto"/>
        <w:rPr>
          <w:rFonts w:eastAsia="Calibri" w:cs="Times New Roman"/>
          <w:sz w:val="23"/>
          <w:szCs w:val="23"/>
        </w:rPr>
      </w:pPr>
    </w:p>
    <w:p w:rsidR="00BD27DC" w:rsidRPr="007F6456" w:rsidRDefault="00BD27DC" w:rsidP="00BD27DC">
      <w:pPr>
        <w:spacing w:after="0" w:line="240" w:lineRule="auto"/>
        <w:jc w:val="center"/>
        <w:rPr>
          <w:rFonts w:eastAsia="Times New Roman" w:cs="Times New Roman"/>
          <w:b/>
          <w:color w:val="0070C0"/>
          <w:sz w:val="24"/>
          <w:szCs w:val="24"/>
        </w:rPr>
      </w:pPr>
      <w:r w:rsidRPr="007F6456">
        <w:rPr>
          <w:rFonts w:eastAsia="Times New Roman" w:cs="Times New Roman"/>
          <w:b/>
          <w:color w:val="0070C0"/>
          <w:sz w:val="24"/>
          <w:szCs w:val="24"/>
        </w:rPr>
        <w:t>CT 503 Housing First Principles</w:t>
      </w:r>
    </w:p>
    <w:p w:rsidR="00BD27DC" w:rsidRPr="007F6456" w:rsidRDefault="00BD27DC" w:rsidP="00BD27DC">
      <w:pPr>
        <w:tabs>
          <w:tab w:val="left" w:pos="1080"/>
        </w:tabs>
        <w:rPr>
          <w:rFonts w:ascii="Calibri" w:eastAsia="MS Mincho" w:hAnsi="Calibri" w:cs="Times New Roman"/>
          <w:sz w:val="24"/>
          <w:szCs w:val="24"/>
        </w:rPr>
      </w:pPr>
      <w:r w:rsidRPr="007F6456">
        <w:rPr>
          <w:rFonts w:ascii="Calibri" w:eastAsia="MS Mincho" w:hAnsi="Calibri" w:cs="Times New Roman"/>
          <w:sz w:val="24"/>
          <w:szCs w:val="24"/>
        </w:rPr>
        <w:t xml:space="preserve">Housing First is a </w:t>
      </w:r>
      <w:r w:rsidRPr="007F6456">
        <w:rPr>
          <w:rFonts w:ascii="Calibri" w:eastAsia="MS Mincho" w:hAnsi="Calibri" w:cs="Times New Roman"/>
          <w:sz w:val="24"/>
          <w:szCs w:val="24"/>
          <w:u w:val="single"/>
        </w:rPr>
        <w:t>programmatic</w:t>
      </w:r>
      <w:r w:rsidRPr="007F6456">
        <w:rPr>
          <w:rFonts w:ascii="Calibri" w:eastAsia="MS Mincho" w:hAnsi="Calibri" w:cs="Times New Roman"/>
          <w:sz w:val="24"/>
          <w:szCs w:val="24"/>
        </w:rPr>
        <w:t xml:space="preserve"> and </w:t>
      </w:r>
      <w:r w:rsidRPr="007F6456">
        <w:rPr>
          <w:rFonts w:ascii="Calibri" w:eastAsia="MS Mincho" w:hAnsi="Calibri" w:cs="Times New Roman"/>
          <w:sz w:val="24"/>
          <w:szCs w:val="24"/>
          <w:u w:val="single"/>
        </w:rPr>
        <w:t>systems</w:t>
      </w:r>
      <w:r w:rsidRPr="007F6456">
        <w:rPr>
          <w:rFonts w:ascii="Calibri" w:eastAsia="MS Mincho" w:hAnsi="Calibri" w:cs="Times New Roman"/>
          <w:sz w:val="24"/>
          <w:szCs w:val="24"/>
        </w:rPr>
        <w:t xml:space="preserve"> approach that centers on providing homeless people with housing quickly and </w:t>
      </w:r>
      <w:r w:rsidRPr="007F6456">
        <w:rPr>
          <w:rFonts w:ascii="Calibri" w:eastAsia="MS Mincho" w:hAnsi="Calibri" w:cs="Times New Roman"/>
          <w:i/>
          <w:iCs/>
          <w:sz w:val="24"/>
          <w:szCs w:val="24"/>
        </w:rPr>
        <w:t xml:space="preserve">then </w:t>
      </w:r>
      <w:r w:rsidRPr="007F6456">
        <w:rPr>
          <w:rFonts w:ascii="Calibri" w:eastAsia="MS Mincho" w:hAnsi="Calibri" w:cs="Times New Roman"/>
          <w:sz w:val="24"/>
          <w:szCs w:val="24"/>
        </w:rPr>
        <w:t>providing services as needed using a low barrier approach that emphasizes community integration, stable tenancy, recovery and individual choice.</w:t>
      </w:r>
    </w:p>
    <w:p w:rsidR="00BD27DC" w:rsidRPr="007F6456" w:rsidRDefault="00BD27DC" w:rsidP="00BD27DC">
      <w:pPr>
        <w:autoSpaceDE w:val="0"/>
        <w:autoSpaceDN w:val="0"/>
        <w:adjustRightInd w:val="0"/>
        <w:spacing w:after="0" w:line="240" w:lineRule="auto"/>
        <w:rPr>
          <w:rFonts w:ascii="Calibri" w:eastAsia="Calibri" w:hAnsi="Calibri" w:cs="Calibri"/>
          <w:color w:val="000000"/>
          <w:sz w:val="24"/>
          <w:szCs w:val="24"/>
          <w:u w:val="single"/>
        </w:rPr>
      </w:pPr>
      <w:r w:rsidRPr="007F6456">
        <w:rPr>
          <w:rFonts w:ascii="Calibri" w:eastAsia="Calibri" w:hAnsi="Calibri" w:cs="Calibri"/>
          <w:color w:val="000000"/>
          <w:sz w:val="24"/>
          <w:szCs w:val="24"/>
          <w:u w:val="single"/>
        </w:rPr>
        <w:t>Low barrier approach to entry:</w:t>
      </w:r>
    </w:p>
    <w:p w:rsidR="00BD27DC" w:rsidRPr="007F6456" w:rsidRDefault="00BD27DC" w:rsidP="00BD27DC">
      <w:pPr>
        <w:numPr>
          <w:ilvl w:val="0"/>
          <w:numId w:val="1"/>
        </w:numPr>
        <w:autoSpaceDE w:val="0"/>
        <w:autoSpaceDN w:val="0"/>
        <w:adjustRightInd w:val="0"/>
        <w:spacing w:after="0" w:line="240" w:lineRule="auto"/>
        <w:ind w:left="450"/>
        <w:rPr>
          <w:rFonts w:ascii="Calibri" w:eastAsia="Calibri" w:hAnsi="Calibri" w:cs="Calibri"/>
          <w:color w:val="000000"/>
          <w:sz w:val="24"/>
          <w:szCs w:val="24"/>
        </w:rPr>
      </w:pPr>
      <w:r w:rsidRPr="007F6456">
        <w:rPr>
          <w:rFonts w:ascii="Calibri" w:eastAsia="Calibri" w:hAnsi="Calibri" w:cs="Calibri"/>
          <w:color w:val="000000"/>
          <w:sz w:val="24"/>
          <w:szCs w:val="24"/>
        </w:rPr>
        <w:t>Housing First offers individuals and families experiencing homelessness immediate access to permanent supportive housing without unnecessary prerequisite</w:t>
      </w:r>
      <w:bookmarkStart w:id="0" w:name="_GoBack"/>
      <w:bookmarkEnd w:id="0"/>
      <w:r w:rsidRPr="007F6456">
        <w:rPr>
          <w:rFonts w:ascii="Calibri" w:eastAsia="Calibri" w:hAnsi="Calibri" w:cs="Calibri"/>
          <w:color w:val="000000"/>
          <w:sz w:val="24"/>
          <w:szCs w:val="24"/>
        </w:rPr>
        <w:t>s.  For example:</w:t>
      </w:r>
    </w:p>
    <w:p w:rsidR="00BD27DC" w:rsidRPr="007F6456" w:rsidRDefault="00BD27DC" w:rsidP="00BD27DC">
      <w:pPr>
        <w:numPr>
          <w:ilvl w:val="1"/>
          <w:numId w:val="2"/>
        </w:numPr>
        <w:tabs>
          <w:tab w:val="left" w:pos="1080"/>
        </w:tabs>
        <w:spacing w:after="0" w:line="240" w:lineRule="auto"/>
        <w:ind w:left="900"/>
        <w:rPr>
          <w:rFonts w:ascii="Calibri" w:eastAsia="MS Mincho" w:hAnsi="Calibri" w:cs="Times New Roman"/>
          <w:sz w:val="24"/>
          <w:szCs w:val="24"/>
        </w:rPr>
      </w:pPr>
      <w:r w:rsidRPr="007F6456">
        <w:rPr>
          <w:rFonts w:ascii="Calibri" w:eastAsia="MS Mincho" w:hAnsi="Calibri" w:cs="Times New Roman"/>
          <w:sz w:val="24"/>
          <w:szCs w:val="24"/>
        </w:rPr>
        <w:t xml:space="preserve">Admission/tenant screening and selection practices do not require abstinence from substances, completion of or compliance with treatment, or participation in services. </w:t>
      </w:r>
    </w:p>
    <w:p w:rsidR="00BD27DC" w:rsidRPr="007F6456" w:rsidRDefault="00BD27DC" w:rsidP="00BD27DC">
      <w:pPr>
        <w:numPr>
          <w:ilvl w:val="1"/>
          <w:numId w:val="2"/>
        </w:numPr>
        <w:tabs>
          <w:tab w:val="left" w:pos="1080"/>
        </w:tabs>
        <w:spacing w:after="0" w:line="240" w:lineRule="auto"/>
        <w:ind w:left="900"/>
        <w:rPr>
          <w:rFonts w:ascii="Calibri" w:eastAsia="MS Mincho" w:hAnsi="Calibri" w:cs="Times New Roman"/>
          <w:sz w:val="24"/>
          <w:szCs w:val="24"/>
        </w:rPr>
      </w:pPr>
      <w:r w:rsidRPr="007F6456">
        <w:rPr>
          <w:rFonts w:ascii="Calibri" w:eastAsia="MS Mincho" w:hAnsi="Calibri" w:cs="Times New Roman"/>
          <w:sz w:val="24"/>
          <w:szCs w:val="24"/>
        </w:rPr>
        <w:t xml:space="preserve">Applicants are not rejected on the basis of poor or lack of credit or income, poor or lack of rental history, minor criminal convictions, or other factors that might indicate a lack of “housing readiness.”   </w:t>
      </w:r>
    </w:p>
    <w:p w:rsidR="00BD27DC" w:rsidRPr="007F6456" w:rsidRDefault="00BD27DC" w:rsidP="00BD27DC">
      <w:pPr>
        <w:numPr>
          <w:ilvl w:val="1"/>
          <w:numId w:val="2"/>
        </w:numPr>
        <w:tabs>
          <w:tab w:val="left" w:pos="1080"/>
        </w:tabs>
        <w:spacing w:after="0" w:line="240" w:lineRule="auto"/>
        <w:ind w:left="900"/>
        <w:rPr>
          <w:rFonts w:ascii="Calibri" w:eastAsia="MS Mincho" w:hAnsi="Calibri" w:cs="Times New Roman"/>
          <w:sz w:val="24"/>
          <w:szCs w:val="24"/>
        </w:rPr>
      </w:pPr>
      <w:r w:rsidRPr="007F6456">
        <w:rPr>
          <w:rFonts w:ascii="Calibri" w:eastAsia="MS Mincho" w:hAnsi="Calibri" w:cs="Times New Roman"/>
          <w:sz w:val="24"/>
          <w:szCs w:val="24"/>
        </w:rPr>
        <w:t>Blanket exclusionary criteria based on more serious criminal convictions are not applied, though programs may consider such convictions on a case by case basis as necessary to ensure the safety of other residents and staff.</w:t>
      </w:r>
    </w:p>
    <w:p w:rsidR="00BD27DC" w:rsidRPr="007F6456" w:rsidRDefault="00BD27DC" w:rsidP="00BD27DC">
      <w:pPr>
        <w:numPr>
          <w:ilvl w:val="1"/>
          <w:numId w:val="2"/>
        </w:numPr>
        <w:tabs>
          <w:tab w:val="left" w:pos="1080"/>
        </w:tabs>
        <w:spacing w:after="0" w:line="240" w:lineRule="auto"/>
        <w:ind w:left="900"/>
        <w:rPr>
          <w:rFonts w:ascii="Calibri" w:eastAsia="MS Mincho" w:hAnsi="Calibri" w:cs="Times New Roman"/>
          <w:sz w:val="24"/>
          <w:szCs w:val="24"/>
          <w:u w:val="single"/>
        </w:rPr>
      </w:pPr>
      <w:r w:rsidRPr="007F6456">
        <w:rPr>
          <w:rFonts w:ascii="Calibri" w:eastAsia="MS Mincho" w:hAnsi="Calibri" w:cs="Times New Roman"/>
          <w:sz w:val="24"/>
          <w:szCs w:val="24"/>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rsidR="00BD27DC" w:rsidRPr="007F6456" w:rsidRDefault="00BD27DC" w:rsidP="00BD27DC">
      <w:pPr>
        <w:autoSpaceDE w:val="0"/>
        <w:autoSpaceDN w:val="0"/>
        <w:adjustRightInd w:val="0"/>
        <w:spacing w:after="0" w:line="240" w:lineRule="auto"/>
        <w:rPr>
          <w:rFonts w:ascii="Calibri" w:eastAsia="Calibri" w:hAnsi="Calibri" w:cs="Calibri"/>
          <w:color w:val="000000"/>
          <w:sz w:val="24"/>
          <w:szCs w:val="24"/>
          <w:u w:val="single"/>
        </w:rPr>
      </w:pPr>
      <w:r w:rsidRPr="007F6456">
        <w:rPr>
          <w:rFonts w:ascii="Calibri" w:eastAsia="Calibri" w:hAnsi="Calibri" w:cs="Calibri"/>
          <w:color w:val="000000"/>
          <w:sz w:val="24"/>
          <w:szCs w:val="24"/>
          <w:u w:val="single"/>
        </w:rPr>
        <w:t>Community integration and recovery:</w:t>
      </w:r>
    </w:p>
    <w:p w:rsidR="00BD27DC" w:rsidRPr="007F6456" w:rsidRDefault="00BD27DC" w:rsidP="00BD27DC">
      <w:pPr>
        <w:numPr>
          <w:ilvl w:val="0"/>
          <w:numId w:val="1"/>
        </w:numPr>
        <w:autoSpaceDE w:val="0"/>
        <w:autoSpaceDN w:val="0"/>
        <w:adjustRightInd w:val="0"/>
        <w:spacing w:after="0" w:line="240" w:lineRule="auto"/>
        <w:ind w:left="450"/>
        <w:contextualSpacing/>
        <w:rPr>
          <w:rFonts w:ascii="Calibri" w:eastAsia="Times New Roman" w:hAnsi="Calibri" w:cs="Calibri"/>
          <w:sz w:val="24"/>
          <w:szCs w:val="24"/>
        </w:rPr>
      </w:pPr>
      <w:r w:rsidRPr="007F6456">
        <w:rPr>
          <w:rFonts w:ascii="Calibri" w:eastAsia="Times New Roman" w:hAnsi="Calibri" w:cs="Calibri"/>
          <w:sz w:val="24"/>
          <w:szCs w:val="24"/>
        </w:rPr>
        <w:t>Housing is integrated into the community and tenants have ample opportunity and are supported to form connections outside of the project.</w:t>
      </w:r>
    </w:p>
    <w:p w:rsidR="00BD27DC" w:rsidRPr="007F6456" w:rsidRDefault="00BD27DC" w:rsidP="00BD27DC">
      <w:pPr>
        <w:numPr>
          <w:ilvl w:val="0"/>
          <w:numId w:val="3"/>
        </w:numPr>
        <w:autoSpaceDE w:val="0"/>
        <w:autoSpaceDN w:val="0"/>
        <w:adjustRightInd w:val="0"/>
        <w:spacing w:after="0" w:line="240" w:lineRule="auto"/>
        <w:contextualSpacing/>
        <w:rPr>
          <w:rFonts w:ascii="Calibri" w:eastAsia="Calibri" w:hAnsi="Calibri" w:cs="Calibri"/>
          <w:color w:val="000000"/>
          <w:sz w:val="24"/>
          <w:szCs w:val="24"/>
          <w:u w:val="single"/>
        </w:rPr>
      </w:pPr>
      <w:r w:rsidRPr="007F6456">
        <w:rPr>
          <w:rFonts w:ascii="Calibri" w:eastAsia="Calibri" w:hAnsi="Calibri" w:cs="Calibri"/>
          <w:color w:val="000000"/>
          <w:sz w:val="24"/>
          <w:szCs w:val="24"/>
        </w:rPr>
        <w:t xml:space="preserve">Housing is located in neighborhoods that are accessible to community resources and services such as </w:t>
      </w:r>
      <w:r w:rsidRPr="007F6456">
        <w:rPr>
          <w:rFonts w:ascii="Calibri" w:eastAsia="Calibri" w:hAnsi="Calibri" w:cs="Arial"/>
          <w:bCs/>
          <w:color w:val="000000"/>
          <w:sz w:val="24"/>
          <w:szCs w:val="24"/>
        </w:rPr>
        <w:t>schools, libraries, houses of worship, grocery stores, laundromats, doctors, dentists, parks, and other recreation facilities.</w:t>
      </w:r>
    </w:p>
    <w:p w:rsidR="00BD27DC" w:rsidRPr="007F6456" w:rsidRDefault="00BD27DC" w:rsidP="00BD27DC">
      <w:pPr>
        <w:numPr>
          <w:ilvl w:val="0"/>
          <w:numId w:val="3"/>
        </w:numPr>
        <w:autoSpaceDE w:val="0"/>
        <w:autoSpaceDN w:val="0"/>
        <w:adjustRightInd w:val="0"/>
        <w:spacing w:after="0" w:line="240" w:lineRule="auto"/>
        <w:contextualSpacing/>
        <w:rPr>
          <w:rFonts w:ascii="Calibri" w:eastAsia="Calibri" w:hAnsi="Calibri" w:cs="Calibri"/>
          <w:color w:val="000000"/>
          <w:sz w:val="24"/>
          <w:szCs w:val="24"/>
          <w:u w:val="single"/>
        </w:rPr>
      </w:pPr>
      <w:r w:rsidRPr="007F6456">
        <w:rPr>
          <w:rFonts w:ascii="Calibri" w:eastAsia="Calibri" w:hAnsi="Calibri" w:cs="Arial"/>
          <w:bCs/>
          <w:color w:val="000000"/>
          <w:sz w:val="24"/>
          <w:szCs w:val="24"/>
        </w:rPr>
        <w:t>Efforts are made to make the housing look and feel similar to other types of housing in the community and to avoid distinguishing the housing as a program that serves people with special needs.</w:t>
      </w:r>
    </w:p>
    <w:p w:rsidR="00BD27DC" w:rsidRPr="007F6456" w:rsidRDefault="00BD27DC" w:rsidP="00BD27DC">
      <w:pPr>
        <w:numPr>
          <w:ilvl w:val="0"/>
          <w:numId w:val="3"/>
        </w:numPr>
        <w:autoSpaceDE w:val="0"/>
        <w:autoSpaceDN w:val="0"/>
        <w:adjustRightInd w:val="0"/>
        <w:spacing w:after="0" w:line="240" w:lineRule="auto"/>
        <w:contextualSpacing/>
        <w:rPr>
          <w:rFonts w:ascii="Calibri" w:eastAsia="Calibri" w:hAnsi="Calibri" w:cs="Calibri"/>
          <w:color w:val="000000"/>
          <w:sz w:val="24"/>
          <w:szCs w:val="24"/>
          <w:u w:val="single"/>
        </w:rPr>
      </w:pPr>
      <w:r w:rsidRPr="007F6456">
        <w:rPr>
          <w:rFonts w:ascii="Calibri" w:eastAsia="Calibri" w:hAnsi="Calibri" w:cs="Arial"/>
          <w:bCs/>
          <w:color w:val="000000"/>
          <w:sz w:val="24"/>
          <w:szCs w:val="24"/>
        </w:rPr>
        <w:t>Services are designed to help tenants build supportive relationships, engage in personally meaningful activities, and regain or develop new roles in their families and communities.</w:t>
      </w:r>
    </w:p>
    <w:p w:rsidR="00BD27DC" w:rsidRPr="007F6456" w:rsidRDefault="00BD27DC" w:rsidP="00BD27DC">
      <w:pPr>
        <w:numPr>
          <w:ilvl w:val="0"/>
          <w:numId w:val="3"/>
        </w:numPr>
        <w:spacing w:after="0" w:line="240" w:lineRule="auto"/>
        <w:contextualSpacing/>
        <w:jc w:val="both"/>
        <w:rPr>
          <w:rFonts w:ascii="Calibri" w:eastAsia="Times New Roman" w:hAnsi="Calibri" w:cs="Calibri"/>
          <w:sz w:val="24"/>
          <w:szCs w:val="24"/>
        </w:rPr>
      </w:pPr>
      <w:r w:rsidRPr="007F6456">
        <w:rPr>
          <w:rFonts w:ascii="Calibri" w:eastAsia="Times New Roman" w:hAnsi="Calibri" w:cs="Arial"/>
          <w:sz w:val="24"/>
          <w:szCs w:val="24"/>
        </w:rPr>
        <w:t xml:space="preserve">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w:t>
      </w:r>
      <w:r w:rsidRPr="007F6456">
        <w:rPr>
          <w:rFonts w:ascii="Calibri" w:eastAsia="Times New Roman" w:hAnsi="Calibri" w:cs="Calibri"/>
          <w:sz w:val="24"/>
          <w:szCs w:val="24"/>
        </w:rPr>
        <w:t>Services are focused on helping tenants achieve the things that are important to them and goals are not driven by staff priorities or selected from a pre-determined menu of options.</w:t>
      </w:r>
    </w:p>
    <w:p w:rsidR="00BD27DC" w:rsidRPr="007F6456" w:rsidRDefault="00BD27DC" w:rsidP="00BD27DC">
      <w:pPr>
        <w:autoSpaceDE w:val="0"/>
        <w:autoSpaceDN w:val="0"/>
        <w:adjustRightInd w:val="0"/>
        <w:spacing w:after="0"/>
        <w:rPr>
          <w:rFonts w:ascii="Calibri" w:eastAsia="Calibri" w:hAnsi="Calibri" w:cs="Calibri"/>
          <w:color w:val="000000"/>
          <w:sz w:val="24"/>
          <w:szCs w:val="24"/>
          <w:u w:val="single"/>
        </w:rPr>
      </w:pPr>
      <w:r w:rsidRPr="007F6456">
        <w:rPr>
          <w:rFonts w:ascii="Calibri" w:eastAsia="Calibri" w:hAnsi="Calibri" w:cs="Calibri"/>
          <w:color w:val="000000"/>
          <w:sz w:val="24"/>
          <w:szCs w:val="24"/>
          <w:u w:val="single"/>
        </w:rPr>
        <w:t>Lease compliance and housing retention</w:t>
      </w:r>
    </w:p>
    <w:p w:rsidR="00BD27DC" w:rsidRPr="007F6456" w:rsidRDefault="00BD27DC" w:rsidP="00BD27DC">
      <w:pPr>
        <w:numPr>
          <w:ilvl w:val="0"/>
          <w:numId w:val="2"/>
        </w:numPr>
        <w:tabs>
          <w:tab w:val="left" w:pos="360"/>
        </w:tabs>
        <w:spacing w:after="0" w:line="240" w:lineRule="auto"/>
        <w:rPr>
          <w:rFonts w:ascii="Calibri" w:eastAsia="MS Mincho" w:hAnsi="Calibri" w:cs="Times New Roman"/>
          <w:sz w:val="24"/>
          <w:szCs w:val="24"/>
        </w:rPr>
      </w:pPr>
      <w:r w:rsidRPr="007F6456">
        <w:rPr>
          <w:rFonts w:ascii="Calibri" w:eastAsia="MS Mincho" w:hAnsi="Calibri" w:cs="Times New Roman"/>
          <w:sz w:val="24"/>
          <w:szCs w:val="24"/>
        </w:rPr>
        <w:lastRenderedPageBreak/>
        <w:t>Tenants are expected to comply with a standard lease agreement and are provided with services and supports to help maintain housing and prevent eviction.</w:t>
      </w:r>
    </w:p>
    <w:p w:rsidR="00BD27DC" w:rsidRPr="007F6456" w:rsidRDefault="00BD27DC" w:rsidP="00BD27DC">
      <w:pPr>
        <w:numPr>
          <w:ilvl w:val="1"/>
          <w:numId w:val="2"/>
        </w:numPr>
        <w:tabs>
          <w:tab w:val="left" w:pos="1080"/>
        </w:tabs>
        <w:spacing w:after="0" w:line="240" w:lineRule="auto"/>
        <w:ind w:left="720"/>
        <w:rPr>
          <w:rFonts w:ascii="Calibri" w:eastAsia="MS Mincho" w:hAnsi="Calibri" w:cs="Times New Roman"/>
          <w:sz w:val="24"/>
          <w:szCs w:val="24"/>
        </w:rPr>
      </w:pPr>
      <w:r w:rsidRPr="007F6456">
        <w:rPr>
          <w:rFonts w:ascii="Calibri" w:eastAsia="MS Mincho" w:hAnsi="Calibri" w:cs="Palatino Linotype"/>
          <w:kern w:val="2"/>
          <w:sz w:val="24"/>
          <w:szCs w:val="24"/>
        </w:rPr>
        <w:t>Leases do not include stipulations beyond those that are customary, legal, and enforceable under Connecticut law.</w:t>
      </w:r>
    </w:p>
    <w:p w:rsidR="00BD27DC" w:rsidRPr="007F6456" w:rsidRDefault="00BD27DC" w:rsidP="00BD27DC">
      <w:pPr>
        <w:numPr>
          <w:ilvl w:val="1"/>
          <w:numId w:val="2"/>
        </w:numPr>
        <w:tabs>
          <w:tab w:val="left" w:pos="1080"/>
        </w:tabs>
        <w:spacing w:after="0" w:line="240" w:lineRule="auto"/>
        <w:ind w:left="720"/>
        <w:rPr>
          <w:rFonts w:ascii="Calibri" w:eastAsia="MS Mincho" w:hAnsi="Calibri" w:cs="Times New Roman"/>
          <w:sz w:val="24"/>
          <w:szCs w:val="24"/>
        </w:rPr>
      </w:pPr>
      <w:r w:rsidRPr="007F6456">
        <w:rPr>
          <w:rFonts w:ascii="Calibri" w:eastAsia="MS Mincho" w:hAnsi="Calibri" w:cs="Times New Roman"/>
          <w:sz w:val="24"/>
          <w:szCs w:val="24"/>
        </w:rPr>
        <w:t xml:space="preserve">No program rules beyond those that are </w:t>
      </w:r>
      <w:r w:rsidRPr="007F6456">
        <w:rPr>
          <w:rFonts w:ascii="Calibri" w:eastAsia="MS Mincho" w:hAnsi="Calibri" w:cs="Palatino Linotype"/>
          <w:kern w:val="2"/>
          <w:sz w:val="24"/>
          <w:szCs w:val="24"/>
        </w:rPr>
        <w:t>customary, legal, and enforceable</w:t>
      </w:r>
      <w:r w:rsidRPr="007F6456">
        <w:rPr>
          <w:rFonts w:ascii="Calibri" w:eastAsia="MS Mincho" w:hAnsi="Calibri" w:cs="Times New Roman"/>
          <w:sz w:val="24"/>
          <w:szCs w:val="24"/>
        </w:rPr>
        <w:t xml:space="preserve"> through a lease are applied (e.g., visitor policies should be equivalent to those in other types of permanent, lease-based housing in the community).</w:t>
      </w:r>
    </w:p>
    <w:p w:rsidR="00BD27DC" w:rsidRPr="007F6456" w:rsidRDefault="00BD27DC" w:rsidP="00BD27DC">
      <w:pPr>
        <w:numPr>
          <w:ilvl w:val="1"/>
          <w:numId w:val="2"/>
        </w:numPr>
        <w:tabs>
          <w:tab w:val="left" w:pos="1080"/>
        </w:tabs>
        <w:spacing w:after="0" w:line="240" w:lineRule="auto"/>
        <w:ind w:left="720"/>
        <w:rPr>
          <w:rFonts w:ascii="Calibri" w:eastAsia="MS Mincho" w:hAnsi="Calibri" w:cs="Times New Roman"/>
          <w:sz w:val="24"/>
          <w:szCs w:val="24"/>
        </w:rPr>
      </w:pPr>
      <w:r w:rsidRPr="007F6456">
        <w:rPr>
          <w:rFonts w:ascii="Calibri" w:eastAsia="MS Mincho" w:hAnsi="Calibri" w:cs="Times New Roman"/>
          <w:sz w:val="24"/>
          <w:szCs w:val="24"/>
        </w:rPr>
        <w:t>Services are designed to identify and reduce risks to stable tenancy and to overall health and well-being.</w:t>
      </w:r>
    </w:p>
    <w:p w:rsidR="00BD27DC" w:rsidRPr="007F6456" w:rsidRDefault="00BD27DC" w:rsidP="00BD27DC">
      <w:pPr>
        <w:numPr>
          <w:ilvl w:val="0"/>
          <w:numId w:val="2"/>
        </w:numPr>
        <w:spacing w:after="0" w:line="240" w:lineRule="auto"/>
        <w:contextualSpacing/>
        <w:rPr>
          <w:rFonts w:ascii="Calibri" w:eastAsia="Times New Roman" w:hAnsi="Calibri" w:cs="Palatino Linotype"/>
          <w:kern w:val="2"/>
          <w:sz w:val="24"/>
          <w:szCs w:val="24"/>
        </w:rPr>
      </w:pPr>
      <w:r w:rsidRPr="007F6456">
        <w:rPr>
          <w:rFonts w:ascii="Calibri" w:eastAsia="Times New Roman" w:hAnsi="Calibri" w:cs="Calibri"/>
          <w:sz w:val="24"/>
          <w:szCs w:val="24"/>
        </w:rPr>
        <w:t xml:space="preserve">Retention in housing is contingent only on lease compliance and is not contingent on abstinence from substances or compliance with services, treatment or other clinical requirements.  For example: </w:t>
      </w:r>
    </w:p>
    <w:p w:rsidR="00BD27DC" w:rsidRPr="007F6456" w:rsidRDefault="00BD27DC" w:rsidP="00BD27DC">
      <w:pPr>
        <w:numPr>
          <w:ilvl w:val="0"/>
          <w:numId w:val="4"/>
        </w:numPr>
        <w:spacing w:after="0" w:line="240" w:lineRule="auto"/>
        <w:contextualSpacing/>
        <w:rPr>
          <w:rFonts w:ascii="Calibri" w:eastAsia="Times New Roman" w:hAnsi="Calibri" w:cs="Palatino Linotype"/>
          <w:kern w:val="2"/>
          <w:sz w:val="24"/>
          <w:szCs w:val="24"/>
        </w:rPr>
      </w:pPr>
      <w:r w:rsidRPr="007F6456">
        <w:rPr>
          <w:rFonts w:ascii="Calibri" w:eastAsia="Times New Roman" w:hAnsi="Calibri" w:cs="Palatino Linotype"/>
          <w:kern w:val="2"/>
          <w:sz w:val="24"/>
          <w:szCs w:val="24"/>
        </w:rPr>
        <w:t>Tenants are not terminated involuntarily from housing for refusal to participate in services or for violating program rules that are not stipulated in the lease.</w:t>
      </w:r>
    </w:p>
    <w:p w:rsidR="00BD27DC" w:rsidRPr="007F6456" w:rsidRDefault="00BD27DC" w:rsidP="00BD27DC">
      <w:pPr>
        <w:numPr>
          <w:ilvl w:val="0"/>
          <w:numId w:val="4"/>
        </w:numPr>
        <w:spacing w:after="0" w:line="240" w:lineRule="auto"/>
        <w:contextualSpacing/>
        <w:rPr>
          <w:rFonts w:ascii="Calibri" w:eastAsia="Times New Roman" w:hAnsi="Calibri" w:cs="Palatino Linotype"/>
          <w:kern w:val="2"/>
          <w:sz w:val="24"/>
          <w:szCs w:val="24"/>
        </w:rPr>
      </w:pPr>
      <w:r w:rsidRPr="007F6456">
        <w:rPr>
          <w:rFonts w:ascii="Calibri" w:eastAsia="Times New Roman" w:hAnsi="Calibri" w:cs="Palatino Linotype"/>
          <w:kern w:val="2"/>
          <w:sz w:val="24"/>
          <w:szCs w:val="24"/>
        </w:rPr>
        <w:t>Transitional housing programs offer participants due process to resolve issues that may result in involuntary discharge (unless immediate risk to health and safety)</w:t>
      </w:r>
    </w:p>
    <w:p w:rsidR="00BD27DC" w:rsidRPr="007F6456" w:rsidRDefault="00BD27DC" w:rsidP="00BD27DC">
      <w:pPr>
        <w:numPr>
          <w:ilvl w:val="0"/>
          <w:numId w:val="4"/>
        </w:numPr>
        <w:spacing w:after="0" w:line="240" w:lineRule="auto"/>
        <w:contextualSpacing/>
        <w:rPr>
          <w:rFonts w:ascii="Calibri" w:eastAsia="Times New Roman" w:hAnsi="Calibri" w:cs="Palatino Linotype"/>
          <w:kern w:val="2"/>
          <w:sz w:val="24"/>
          <w:szCs w:val="24"/>
        </w:rPr>
      </w:pPr>
      <w:r w:rsidRPr="007F6456">
        <w:rPr>
          <w:rFonts w:ascii="Calibri" w:eastAsia="Times New Roman" w:hAnsi="Calibri" w:cs="Palatino Linotype"/>
          <w:sz w:val="24"/>
          <w:szCs w:val="24"/>
        </w:rPr>
        <w:t>PH providers only terminate</w:t>
      </w:r>
      <w:r w:rsidRPr="007F6456">
        <w:rPr>
          <w:rFonts w:ascii="Calibri" w:eastAsia="Times New Roman" w:hAnsi="Calibri" w:cs="Palatino Linotype"/>
          <w:spacing w:val="-14"/>
          <w:kern w:val="2"/>
          <w:sz w:val="24"/>
          <w:szCs w:val="24"/>
        </w:rPr>
        <w:t> </w:t>
      </w:r>
      <w:r w:rsidRPr="007F6456">
        <w:rPr>
          <w:rFonts w:ascii="Calibri" w:eastAsia="Times New Roman" w:hAnsi="Calibri" w:cs="Palatino Linotype"/>
          <w:kern w:val="2"/>
          <w:sz w:val="24"/>
          <w:szCs w:val="24"/>
        </w:rPr>
        <w:t>occupancy</w:t>
      </w:r>
      <w:r w:rsidRPr="007F6456">
        <w:rPr>
          <w:rFonts w:ascii="Calibri" w:eastAsia="Times New Roman" w:hAnsi="Calibri" w:cs="Palatino Linotype"/>
          <w:spacing w:val="-14"/>
          <w:kern w:val="2"/>
          <w:sz w:val="24"/>
          <w:szCs w:val="24"/>
        </w:rPr>
        <w:t xml:space="preserve"> of housing in cases of</w:t>
      </w:r>
      <w:r w:rsidRPr="007F6456">
        <w:rPr>
          <w:rFonts w:ascii="Calibri" w:eastAsia="Times New Roman" w:hAnsi="Calibri" w:cs="Palatino Linotype"/>
          <w:spacing w:val="60"/>
          <w:kern w:val="2"/>
          <w:sz w:val="24"/>
          <w:szCs w:val="24"/>
        </w:rPr>
        <w:t> </w:t>
      </w:r>
      <w:r w:rsidRPr="007F6456">
        <w:rPr>
          <w:rFonts w:ascii="Calibri" w:eastAsia="Times New Roman" w:hAnsi="Calibri" w:cs="Palatino Linotype"/>
          <w:kern w:val="2"/>
          <w:sz w:val="24"/>
          <w:szCs w:val="24"/>
        </w:rPr>
        <w:t>noncompliance</w:t>
      </w:r>
      <w:r w:rsidRPr="007F6456">
        <w:rPr>
          <w:rFonts w:ascii="Calibri" w:eastAsia="Times New Roman" w:hAnsi="Calibri" w:cs="Palatino Linotype"/>
          <w:spacing w:val="60"/>
          <w:kern w:val="2"/>
          <w:sz w:val="24"/>
          <w:szCs w:val="24"/>
        </w:rPr>
        <w:t> </w:t>
      </w:r>
      <w:r w:rsidRPr="007F6456">
        <w:rPr>
          <w:rFonts w:ascii="Calibri" w:eastAsia="Times New Roman" w:hAnsi="Calibri" w:cs="Palatino Linotype"/>
          <w:kern w:val="2"/>
          <w:sz w:val="24"/>
          <w:szCs w:val="24"/>
        </w:rPr>
        <w:t>with</w:t>
      </w:r>
      <w:r w:rsidRPr="007F6456">
        <w:rPr>
          <w:rFonts w:ascii="Calibri" w:eastAsia="Times New Roman" w:hAnsi="Calibri" w:cs="Palatino Linotype"/>
          <w:spacing w:val="40"/>
          <w:kern w:val="2"/>
          <w:sz w:val="24"/>
          <w:szCs w:val="24"/>
        </w:rPr>
        <w:t> </w:t>
      </w:r>
      <w:r w:rsidRPr="007F6456">
        <w:rPr>
          <w:rFonts w:ascii="Calibri" w:eastAsia="Times New Roman" w:hAnsi="Calibri" w:cs="Palatino Linotype"/>
          <w:kern w:val="2"/>
          <w:sz w:val="24"/>
          <w:szCs w:val="24"/>
        </w:rPr>
        <w:t>the</w:t>
      </w:r>
      <w:r w:rsidRPr="007F6456">
        <w:rPr>
          <w:rFonts w:ascii="Calibri" w:eastAsia="Times New Roman" w:hAnsi="Calibri" w:cs="Palatino Linotype"/>
          <w:spacing w:val="20"/>
          <w:kern w:val="2"/>
          <w:sz w:val="24"/>
          <w:szCs w:val="24"/>
        </w:rPr>
        <w:t xml:space="preserve"> l</w:t>
      </w:r>
      <w:r w:rsidRPr="007F6456">
        <w:rPr>
          <w:rFonts w:ascii="Calibri" w:eastAsia="Times New Roman" w:hAnsi="Calibri" w:cs="Palatino Linotype"/>
          <w:kern w:val="2"/>
          <w:sz w:val="24"/>
          <w:szCs w:val="24"/>
        </w:rPr>
        <w:t xml:space="preserve">ease or failure of a tenant to carry out obligations under Connecticut's Landlord and Tenant Act (Chapter 830 of the Connecticut General Statute </w:t>
      </w:r>
      <w:hyperlink r:id="rId7" w:history="1">
        <w:r w:rsidRPr="007F6456">
          <w:rPr>
            <w:rFonts w:ascii="Calibri" w:eastAsia="Times New Roman" w:hAnsi="Calibri" w:cs="Calibri"/>
            <w:color w:val="0000FF"/>
            <w:kern w:val="2"/>
            <w:sz w:val="24"/>
            <w:szCs w:val="24"/>
            <w:u w:val="single"/>
          </w:rPr>
          <w:t>http://www.cga.ct.gov/2011/pub/chap830.htm</w:t>
        </w:r>
      </w:hyperlink>
      <w:r w:rsidRPr="007F6456">
        <w:rPr>
          <w:rFonts w:ascii="Calibri" w:eastAsia="Times New Roman" w:hAnsi="Calibri" w:cs="Palatino Linotype"/>
          <w:kern w:val="2"/>
          <w:sz w:val="24"/>
          <w:szCs w:val="24"/>
        </w:rPr>
        <w:t>). </w:t>
      </w:r>
    </w:p>
    <w:p w:rsidR="00BD27DC" w:rsidRPr="007F6456" w:rsidRDefault="00BD27DC" w:rsidP="00BD27DC">
      <w:pPr>
        <w:numPr>
          <w:ilvl w:val="0"/>
          <w:numId w:val="4"/>
        </w:numPr>
        <w:spacing w:after="0" w:line="240" w:lineRule="auto"/>
        <w:contextualSpacing/>
        <w:rPr>
          <w:rFonts w:ascii="Calibri" w:eastAsia="Times New Roman" w:hAnsi="Calibri" w:cs="Palatino Linotype"/>
          <w:kern w:val="2"/>
          <w:sz w:val="24"/>
          <w:szCs w:val="24"/>
        </w:rPr>
      </w:pPr>
      <w:r w:rsidRPr="007F6456">
        <w:rPr>
          <w:rFonts w:ascii="Calibri" w:eastAsia="Times New Roman" w:hAnsi="Calibri" w:cs="Palatino Linotype"/>
          <w:kern w:val="2"/>
          <w:sz w:val="24"/>
          <w:szCs w:val="24"/>
        </w:rPr>
        <w:t xml:space="preserve"> In order to terminate housing, PH providers are required to use the legal court eviction process. </w:t>
      </w:r>
    </w:p>
    <w:p w:rsidR="00BD27DC" w:rsidRPr="007F6456" w:rsidRDefault="00BD27DC" w:rsidP="00BD27DC">
      <w:pPr>
        <w:tabs>
          <w:tab w:val="left" w:pos="1080"/>
        </w:tabs>
        <w:spacing w:after="0"/>
        <w:rPr>
          <w:rFonts w:ascii="Calibri" w:eastAsia="MS Mincho" w:hAnsi="Calibri" w:cs="Palatino Linotype"/>
          <w:sz w:val="24"/>
          <w:szCs w:val="24"/>
          <w:u w:val="single"/>
        </w:rPr>
      </w:pPr>
      <w:r w:rsidRPr="007F6456">
        <w:rPr>
          <w:rFonts w:ascii="Calibri" w:eastAsia="MS Mincho" w:hAnsi="Calibri" w:cs="Palatino Linotype"/>
          <w:sz w:val="24"/>
          <w:szCs w:val="24"/>
          <w:u w:val="single"/>
        </w:rPr>
        <w:t>Separation of housing and services</w:t>
      </w:r>
    </w:p>
    <w:p w:rsidR="00BD27DC" w:rsidRPr="007F6456" w:rsidRDefault="00BD27DC" w:rsidP="00BD27DC">
      <w:pPr>
        <w:numPr>
          <w:ilvl w:val="0"/>
          <w:numId w:val="5"/>
        </w:numPr>
        <w:autoSpaceDE w:val="0"/>
        <w:autoSpaceDN w:val="0"/>
        <w:adjustRightInd w:val="0"/>
        <w:spacing w:after="0" w:line="240" w:lineRule="auto"/>
        <w:ind w:left="360"/>
        <w:rPr>
          <w:rFonts w:ascii="Calibri" w:eastAsia="Calibri" w:hAnsi="Calibri" w:cs="New Caledonia LT Std"/>
          <w:color w:val="000000"/>
          <w:sz w:val="24"/>
          <w:szCs w:val="24"/>
        </w:rPr>
      </w:pPr>
      <w:r w:rsidRPr="007F6456">
        <w:rPr>
          <w:rFonts w:ascii="Calibri" w:eastAsia="Calibri" w:hAnsi="Calibri" w:cs="Palatino Linotype"/>
          <w:color w:val="000000"/>
          <w:sz w:val="24"/>
          <w:szCs w:val="24"/>
        </w:rPr>
        <w:t>Projects are designed in such a manner that the roles of property management (e.g., housing application, rent collection, repairs, and eviction) and supportive services staff are clearly defined and distinct.</w:t>
      </w:r>
    </w:p>
    <w:p w:rsidR="00BD27DC" w:rsidRPr="007F6456" w:rsidRDefault="00BD27DC" w:rsidP="00BD27DC">
      <w:pPr>
        <w:numPr>
          <w:ilvl w:val="1"/>
          <w:numId w:val="5"/>
        </w:numPr>
        <w:autoSpaceDE w:val="0"/>
        <w:autoSpaceDN w:val="0"/>
        <w:adjustRightInd w:val="0"/>
        <w:spacing w:after="0" w:line="240" w:lineRule="auto"/>
        <w:ind w:left="720"/>
        <w:rPr>
          <w:rFonts w:ascii="Calibri" w:eastAsia="Calibri" w:hAnsi="Calibri" w:cs="New Caledonia LT Std"/>
          <w:color w:val="000000"/>
          <w:sz w:val="24"/>
          <w:szCs w:val="24"/>
        </w:rPr>
      </w:pPr>
      <w:r w:rsidRPr="007F6456">
        <w:rPr>
          <w:rFonts w:ascii="Calibri" w:eastAsia="Calibri" w:hAnsi="Calibri" w:cs="New Caledonia LT Std"/>
          <w:sz w:val="24"/>
          <w:szCs w:val="24"/>
        </w:rPr>
        <w:t xml:space="preserve">Property management and support service functions are provided either by separate legal entities or by staff members whose roles do not overlap. </w:t>
      </w:r>
    </w:p>
    <w:p w:rsidR="00BD27DC" w:rsidRPr="007F6456" w:rsidRDefault="00BD27DC" w:rsidP="00BD27DC">
      <w:pPr>
        <w:numPr>
          <w:ilvl w:val="1"/>
          <w:numId w:val="5"/>
        </w:numPr>
        <w:autoSpaceDE w:val="0"/>
        <w:autoSpaceDN w:val="0"/>
        <w:adjustRightInd w:val="0"/>
        <w:spacing w:after="0" w:line="240" w:lineRule="auto"/>
        <w:ind w:left="720"/>
        <w:rPr>
          <w:rFonts w:ascii="Calibri" w:eastAsia="Calibri" w:hAnsi="Calibri" w:cs="New Caledonia LT Std"/>
          <w:color w:val="000000"/>
          <w:sz w:val="24"/>
          <w:szCs w:val="24"/>
        </w:rPr>
      </w:pPr>
      <w:r w:rsidRPr="007F6456">
        <w:rPr>
          <w:rFonts w:ascii="Calibri" w:eastAsia="Calibri" w:hAnsi="Calibri" w:cs="New Caledonia LT Std"/>
          <w:sz w:val="24"/>
          <w:szCs w:val="24"/>
        </w:rPr>
        <w:t>There are defined processes for communication and coordination across the two functions to support stable tenancy.</w:t>
      </w:r>
    </w:p>
    <w:p w:rsidR="00BD27DC" w:rsidRPr="007F6456" w:rsidRDefault="00BD27DC" w:rsidP="00BD27DC">
      <w:pPr>
        <w:numPr>
          <w:ilvl w:val="1"/>
          <w:numId w:val="5"/>
        </w:numPr>
        <w:autoSpaceDE w:val="0"/>
        <w:autoSpaceDN w:val="0"/>
        <w:adjustRightInd w:val="0"/>
        <w:spacing w:after="0" w:line="240" w:lineRule="auto"/>
        <w:ind w:left="720"/>
        <w:rPr>
          <w:rFonts w:ascii="Calibri" w:eastAsia="Calibri" w:hAnsi="Calibri" w:cs="New Caledonia LT Std"/>
          <w:color w:val="000000"/>
          <w:sz w:val="24"/>
          <w:szCs w:val="24"/>
        </w:rPr>
      </w:pPr>
      <w:r w:rsidRPr="007F6456">
        <w:rPr>
          <w:rFonts w:ascii="Calibri" w:eastAsia="Calibri" w:hAnsi="Calibri" w:cs="New Caledonia LT Std"/>
          <w:sz w:val="24"/>
          <w:szCs w:val="24"/>
        </w:rPr>
        <w:t>Those processes are designed to protect client confidentiality and share confidential information on a need to know basis only.</w:t>
      </w:r>
    </w:p>
    <w:p w:rsidR="00BD27DC" w:rsidRPr="007F6456" w:rsidRDefault="00BD27DC" w:rsidP="00BD27DC">
      <w:pPr>
        <w:tabs>
          <w:tab w:val="left" w:pos="1080"/>
        </w:tabs>
        <w:spacing w:after="0"/>
        <w:rPr>
          <w:rFonts w:ascii="Calibri" w:eastAsia="MS Mincho" w:hAnsi="Calibri" w:cs="Palatino Linotype"/>
          <w:sz w:val="24"/>
          <w:szCs w:val="24"/>
          <w:u w:val="single"/>
        </w:rPr>
      </w:pPr>
      <w:r w:rsidRPr="007F6456">
        <w:rPr>
          <w:rFonts w:ascii="Calibri" w:eastAsia="MS Mincho" w:hAnsi="Calibri" w:cs="Palatino Linotype"/>
          <w:sz w:val="24"/>
          <w:szCs w:val="24"/>
          <w:u w:val="single"/>
        </w:rPr>
        <w:t>Tenant Choice</w:t>
      </w:r>
    </w:p>
    <w:p w:rsidR="00BD27DC" w:rsidRPr="007F6456" w:rsidRDefault="00BD27DC" w:rsidP="00BD27DC">
      <w:pPr>
        <w:numPr>
          <w:ilvl w:val="0"/>
          <w:numId w:val="6"/>
        </w:numPr>
        <w:spacing w:after="0" w:line="240" w:lineRule="auto"/>
        <w:contextualSpacing/>
        <w:rPr>
          <w:rFonts w:ascii="Calibri" w:eastAsia="Times New Roman" w:hAnsi="Calibri" w:cs="Calibri"/>
          <w:sz w:val="24"/>
          <w:szCs w:val="24"/>
        </w:rPr>
      </w:pPr>
      <w:r w:rsidRPr="007F6456">
        <w:rPr>
          <w:rFonts w:ascii="Calibri" w:eastAsia="Times New Roman" w:hAnsi="Calibri" w:cs="Calibri"/>
          <w:sz w:val="24"/>
          <w:szCs w:val="24"/>
        </w:rPr>
        <w:t>Efforts are made to maximize tenant choice, including type, frequency, timing, location and intensity of services and whenever possible choice of neighborhoods, apartments, furniture, and décor.</w:t>
      </w:r>
    </w:p>
    <w:p w:rsidR="00BD27DC" w:rsidRPr="007F6456" w:rsidRDefault="00BD27DC" w:rsidP="00BD27DC">
      <w:pPr>
        <w:numPr>
          <w:ilvl w:val="0"/>
          <w:numId w:val="6"/>
        </w:numPr>
        <w:spacing w:after="0" w:line="240" w:lineRule="auto"/>
        <w:contextualSpacing/>
        <w:jc w:val="both"/>
        <w:rPr>
          <w:rFonts w:ascii="Calibri" w:eastAsia="Times New Roman" w:hAnsi="Calibri" w:cs="Calibri"/>
          <w:sz w:val="24"/>
          <w:szCs w:val="24"/>
        </w:rPr>
      </w:pPr>
      <w:r w:rsidRPr="007F6456">
        <w:rPr>
          <w:rFonts w:ascii="Calibri" w:eastAsia="Times New Roman" w:hAnsi="Calibri" w:cs="Calibri"/>
          <w:sz w:val="24"/>
          <w:szCs w:val="24"/>
        </w:rPr>
        <w:t>Staff accepts tenant choices as a matter of fact without judgment and provides services that are non-coercive to help people achieve their personal goals.</w:t>
      </w:r>
    </w:p>
    <w:p w:rsidR="00BD27DC" w:rsidRPr="007F6456" w:rsidRDefault="00BD27DC" w:rsidP="00BD27DC">
      <w:pPr>
        <w:numPr>
          <w:ilvl w:val="0"/>
          <w:numId w:val="6"/>
        </w:numPr>
        <w:spacing w:after="0" w:line="240" w:lineRule="auto"/>
        <w:contextualSpacing/>
        <w:rPr>
          <w:rFonts w:ascii="Calibri" w:eastAsia="Times New Roman" w:hAnsi="Calibri" w:cs="Calibri"/>
          <w:sz w:val="24"/>
          <w:szCs w:val="24"/>
        </w:rPr>
      </w:pPr>
      <w:r w:rsidRPr="007F6456">
        <w:rPr>
          <w:rFonts w:ascii="Calibri" w:eastAsia="Times New Roman" w:hAnsi="Calibri" w:cs="Calibri"/>
          <w:sz w:val="24"/>
          <w:szCs w:val="24"/>
        </w:rPr>
        <w:t>Staff accepts that risk is part of the human experience and helps tenants to understand risks and reduce harm caused to themselves and others by risky behavior.</w:t>
      </w:r>
    </w:p>
    <w:p w:rsidR="00BD27DC" w:rsidRPr="007F6456" w:rsidRDefault="00BD27DC" w:rsidP="00BD27DC">
      <w:pPr>
        <w:numPr>
          <w:ilvl w:val="0"/>
          <w:numId w:val="7"/>
        </w:numPr>
        <w:spacing w:after="0" w:line="240" w:lineRule="auto"/>
        <w:ind w:left="720"/>
        <w:contextualSpacing/>
        <w:rPr>
          <w:rFonts w:ascii="Calibri" w:eastAsia="Times New Roman" w:hAnsi="Calibri" w:cs="Calibri"/>
          <w:sz w:val="24"/>
          <w:szCs w:val="24"/>
        </w:rPr>
      </w:pPr>
      <w:r w:rsidRPr="007F6456">
        <w:rPr>
          <w:rFonts w:ascii="Calibri" w:eastAsia="Times New Roman" w:hAnsi="Calibri" w:cs="Calibri"/>
          <w:sz w:val="24"/>
          <w:szCs w:val="24"/>
        </w:rPr>
        <w:t>Staff understands the clinical and legal limits to choice and intervenes as necessary when someone presents a danger to self or others.</w:t>
      </w:r>
    </w:p>
    <w:p w:rsidR="00BD27DC" w:rsidRPr="007F6456" w:rsidRDefault="00BD27DC" w:rsidP="00BD27DC">
      <w:pPr>
        <w:numPr>
          <w:ilvl w:val="0"/>
          <w:numId w:val="7"/>
        </w:numPr>
        <w:spacing w:after="0" w:line="240" w:lineRule="auto"/>
        <w:ind w:left="720"/>
        <w:contextualSpacing/>
        <w:rPr>
          <w:rFonts w:ascii="Calibri" w:eastAsia="Times New Roman" w:hAnsi="Calibri" w:cs="Calibri"/>
          <w:sz w:val="24"/>
          <w:szCs w:val="24"/>
        </w:rPr>
      </w:pPr>
      <w:r w:rsidRPr="007F6456">
        <w:rPr>
          <w:rFonts w:ascii="Calibri" w:eastAsia="Times New Roman" w:hAnsi="Calibri" w:cs="Calibri"/>
          <w:sz w:val="24"/>
          <w:szCs w:val="24"/>
        </w:rPr>
        <w:lastRenderedPageBreak/>
        <w:t>Staff helps tenants to understand the legal obligations of tenancy and to reduce risk of eviction.</w:t>
      </w:r>
    </w:p>
    <w:p w:rsidR="00BD27DC" w:rsidRPr="007F6456" w:rsidRDefault="00BD27DC" w:rsidP="00BD27DC">
      <w:pPr>
        <w:numPr>
          <w:ilvl w:val="0"/>
          <w:numId w:val="7"/>
        </w:numPr>
        <w:tabs>
          <w:tab w:val="left" w:pos="1080"/>
        </w:tabs>
        <w:spacing w:after="0" w:line="240" w:lineRule="auto"/>
        <w:ind w:left="720"/>
        <w:contextualSpacing/>
        <w:rPr>
          <w:rFonts w:ascii="Calibri" w:eastAsia="Times New Roman" w:hAnsi="Calibri" w:cs="Calibri"/>
          <w:sz w:val="24"/>
          <w:szCs w:val="24"/>
        </w:rPr>
      </w:pPr>
      <w:r w:rsidRPr="007F6456">
        <w:rPr>
          <w:rFonts w:ascii="Calibri" w:eastAsia="Times New Roman" w:hAnsi="Calibri" w:cs="Calibri"/>
          <w:sz w:val="24"/>
          <w:szCs w:val="24"/>
        </w:rPr>
        <w:t>Projects provide meaningful opportunities for tenant input and involvement when designing programs, planning activities and determining policies.</w:t>
      </w:r>
    </w:p>
    <w:p w:rsidR="00BD27DC" w:rsidRDefault="00BD27DC" w:rsidP="00BD27DC">
      <w:pPr>
        <w:rPr>
          <w:rFonts w:ascii="Times New Roman" w:hAnsi="Times New Roman" w:cs="Times New Roman"/>
          <w:sz w:val="24"/>
          <w:szCs w:val="24"/>
        </w:rPr>
      </w:pPr>
    </w:p>
    <w:p w:rsidR="00BD27DC" w:rsidRDefault="00BD27DC" w:rsidP="00BD27DC">
      <w:pPr>
        <w:rPr>
          <w:rFonts w:ascii="Times New Roman" w:hAnsi="Times New Roman" w:cs="Times New Roman"/>
          <w:sz w:val="24"/>
          <w:szCs w:val="24"/>
        </w:rPr>
      </w:pPr>
    </w:p>
    <w:p w:rsidR="00BD27DC" w:rsidRDefault="00BD27DC" w:rsidP="00BD27DC">
      <w:pPr>
        <w:rPr>
          <w:rFonts w:ascii="Times New Roman" w:hAnsi="Times New Roman" w:cs="Times New Roman"/>
          <w:sz w:val="24"/>
          <w:szCs w:val="24"/>
        </w:rPr>
      </w:pPr>
    </w:p>
    <w:p w:rsidR="00BD27DC" w:rsidRDefault="00BD27DC" w:rsidP="00BD27DC">
      <w:pPr>
        <w:rPr>
          <w:rFonts w:ascii="Times New Roman" w:hAnsi="Times New Roman" w:cs="Times New Roman"/>
          <w:sz w:val="24"/>
          <w:szCs w:val="24"/>
        </w:rPr>
      </w:pPr>
    </w:p>
    <w:p w:rsidR="00BD27DC" w:rsidRDefault="00BD27DC" w:rsidP="00BD27DC">
      <w:pPr>
        <w:rPr>
          <w:rFonts w:ascii="Times New Roman" w:hAnsi="Times New Roman" w:cs="Times New Roman"/>
          <w:sz w:val="24"/>
          <w:szCs w:val="24"/>
        </w:rPr>
      </w:pPr>
    </w:p>
    <w:p w:rsidR="00BD27DC" w:rsidRDefault="00BD27DC" w:rsidP="00BD27DC">
      <w:pPr>
        <w:rPr>
          <w:rFonts w:ascii="Times New Roman" w:hAnsi="Times New Roman" w:cs="Times New Roman"/>
          <w:sz w:val="24"/>
          <w:szCs w:val="24"/>
        </w:rPr>
      </w:pPr>
    </w:p>
    <w:p w:rsidR="00BD27DC" w:rsidRPr="00A2773D" w:rsidRDefault="00BD27DC" w:rsidP="00BD27DC">
      <w:pPr>
        <w:rPr>
          <w:rFonts w:ascii="Times New Roman" w:hAnsi="Times New Roman" w:cs="Times New Roman"/>
          <w:sz w:val="24"/>
          <w:szCs w:val="24"/>
        </w:rPr>
      </w:pPr>
    </w:p>
    <w:p w:rsidR="00BD27DC" w:rsidRDefault="00BD27DC" w:rsidP="00BD27DC"/>
    <w:p w:rsidR="00CD1967" w:rsidRDefault="00CD1967"/>
    <w:sectPr w:rsidR="00CD1967" w:rsidSect="001341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DC" w:rsidRDefault="00BD27DC" w:rsidP="00BD27DC">
      <w:pPr>
        <w:spacing w:after="0" w:line="240" w:lineRule="auto"/>
      </w:pPr>
      <w:r>
        <w:separator/>
      </w:r>
    </w:p>
  </w:endnote>
  <w:endnote w:type="continuationSeparator" w:id="0">
    <w:p w:rsidR="00BD27DC" w:rsidRDefault="00BD27DC" w:rsidP="00BD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Caledonia LT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396235"/>
      <w:docPartObj>
        <w:docPartGallery w:val="Page Numbers (Bottom of Page)"/>
        <w:docPartUnique/>
      </w:docPartObj>
    </w:sdtPr>
    <w:sdtEndPr>
      <w:rPr>
        <w:noProof/>
      </w:rPr>
    </w:sdtEndPr>
    <w:sdtContent>
      <w:p w:rsidR="00FC5CB7" w:rsidRDefault="00BD27DC" w:rsidP="0013419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5CB7" w:rsidRDefault="00BD27DC">
    <w:pPr>
      <w:pStyle w:val="Footer"/>
    </w:pPr>
    <w:r>
      <w:t>Approved by ODFC Coordinating Council June 8,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DC" w:rsidRDefault="00BD27DC" w:rsidP="00BD27DC">
      <w:pPr>
        <w:spacing w:after="0" w:line="240" w:lineRule="auto"/>
      </w:pPr>
      <w:r>
        <w:separator/>
      </w:r>
    </w:p>
  </w:footnote>
  <w:footnote w:type="continuationSeparator" w:id="0">
    <w:p w:rsidR="00BD27DC" w:rsidRDefault="00BD27DC" w:rsidP="00BD2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B7" w:rsidRDefault="00BD27DC" w:rsidP="0013419B">
    <w:pPr>
      <w:pStyle w:val="Header"/>
      <w:jc w:val="center"/>
    </w:pPr>
    <w:r>
      <w:rPr>
        <w:rFonts w:ascii="Times New Roman" w:hAnsi="Times New Roman"/>
        <w:noProof/>
        <w:sz w:val="24"/>
        <w:szCs w:val="24"/>
      </w:rPr>
      <w:drawing>
        <wp:anchor distT="36576" distB="36576" distL="36576" distR="36576" simplePos="0" relativeHeight="251659264" behindDoc="0" locked="0" layoutInCell="1" allowOverlap="1" wp14:anchorId="3D5DEF27" wp14:editId="57AC8BE6">
          <wp:simplePos x="0" y="0"/>
          <wp:positionH relativeFrom="column">
            <wp:posOffset>-19050</wp:posOffset>
          </wp:positionH>
          <wp:positionV relativeFrom="paragraph">
            <wp:posOffset>-295275</wp:posOffset>
          </wp:positionV>
          <wp:extent cx="2186940" cy="678180"/>
          <wp:effectExtent l="0" t="0" r="3810" b="7620"/>
          <wp:wrapNone/>
          <wp:docPr id="1" name="Picture 1" descr="OD_Logo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_Logo2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7818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284105C4"/>
    <w:multiLevelType w:val="hybridMultilevel"/>
    <w:tmpl w:val="3B7444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E6259"/>
    <w:multiLevelType w:val="hybridMultilevel"/>
    <w:tmpl w:val="5A3E9398"/>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6" w15:restartNumberingAfterBreak="0">
    <w:nsid w:val="525C4CCE"/>
    <w:multiLevelType w:val="hybridMultilevel"/>
    <w:tmpl w:val="542A32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DC"/>
    <w:rsid w:val="00BD27DC"/>
    <w:rsid w:val="00CD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409AF2-CD8C-4ECD-9007-01687D5C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D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7DC"/>
    <w:rPr>
      <w:rFonts w:eastAsiaTheme="minorEastAsia"/>
    </w:rPr>
  </w:style>
  <w:style w:type="paragraph" w:styleId="Footer">
    <w:name w:val="footer"/>
    <w:basedOn w:val="Normal"/>
    <w:link w:val="FooterChar"/>
    <w:uiPriority w:val="99"/>
    <w:unhideWhenUsed/>
    <w:rsid w:val="00BD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7D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ga.ct.gov/2011/pub/chap8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Nutmeg Customer</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Ralston</dc:creator>
  <cp:keywords/>
  <dc:description/>
  <cp:lastModifiedBy>Pamela Ralston</cp:lastModifiedBy>
  <cp:revision>1</cp:revision>
  <dcterms:created xsi:type="dcterms:W3CDTF">2018-05-04T20:36:00Z</dcterms:created>
  <dcterms:modified xsi:type="dcterms:W3CDTF">2018-05-04T20:39:00Z</dcterms:modified>
</cp:coreProperties>
</file>